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22A325" w14:textId="77777777" w:rsidR="003671FD" w:rsidRPr="003671FD" w:rsidRDefault="003671FD" w:rsidP="00031D45">
      <w:pPr>
        <w:jc w:val="center"/>
        <w:rPr>
          <w:b/>
          <w:sz w:val="20"/>
          <w:szCs w:val="20"/>
        </w:rPr>
      </w:pPr>
      <w:r w:rsidRPr="003671FD">
        <w:rPr>
          <w:b/>
          <w:sz w:val="20"/>
          <w:szCs w:val="20"/>
        </w:rPr>
        <w:t>NOTICE OF INTENT TO REQUEST RELEASE OF FUNDS</w:t>
      </w:r>
    </w:p>
    <w:p w14:paraId="14D99C49" w14:textId="77777777" w:rsidR="003671FD" w:rsidRPr="003671FD" w:rsidRDefault="003671FD" w:rsidP="00031D45">
      <w:pPr>
        <w:jc w:val="center"/>
        <w:rPr>
          <w:b/>
          <w:sz w:val="20"/>
          <w:szCs w:val="20"/>
        </w:rPr>
      </w:pPr>
      <w:r w:rsidRPr="003671FD">
        <w:rPr>
          <w:b/>
          <w:sz w:val="20"/>
          <w:szCs w:val="20"/>
        </w:rPr>
        <w:t>FOR TIERED PROJECTS AND PROGRAMS</w:t>
      </w:r>
    </w:p>
    <w:p w14:paraId="7B4D47D3" w14:textId="77777777" w:rsidR="003671FD" w:rsidRPr="003671FD" w:rsidRDefault="003671FD" w:rsidP="003671FD">
      <w:pPr>
        <w:rPr>
          <w:b/>
          <w:sz w:val="20"/>
          <w:szCs w:val="20"/>
        </w:rPr>
      </w:pPr>
    </w:p>
    <w:p w14:paraId="5EC96967" w14:textId="18987DBD" w:rsidR="003671FD" w:rsidRPr="005D341F" w:rsidRDefault="005D341F" w:rsidP="00031D45">
      <w:pPr>
        <w:jc w:val="both"/>
        <w:rPr>
          <w:b/>
          <w:sz w:val="20"/>
          <w:szCs w:val="20"/>
        </w:rPr>
      </w:pPr>
      <w:r w:rsidRPr="005D341F">
        <w:rPr>
          <w:sz w:val="20"/>
          <w:szCs w:val="20"/>
        </w:rPr>
        <w:t>September 09, 2026</w:t>
      </w:r>
    </w:p>
    <w:p w14:paraId="6FDD8914" w14:textId="77777777" w:rsidR="003671FD" w:rsidRPr="005D341F" w:rsidRDefault="003671FD" w:rsidP="00031D45">
      <w:pPr>
        <w:jc w:val="both"/>
        <w:rPr>
          <w:sz w:val="20"/>
          <w:szCs w:val="20"/>
        </w:rPr>
      </w:pPr>
    </w:p>
    <w:p w14:paraId="20E0BD5A" w14:textId="56784463" w:rsidR="003671FD" w:rsidRPr="005D341F" w:rsidRDefault="005D341F" w:rsidP="00524D67">
      <w:pPr>
        <w:spacing w:line="276" w:lineRule="auto"/>
        <w:jc w:val="both"/>
        <w:rPr>
          <w:bCs/>
          <w:sz w:val="20"/>
          <w:szCs w:val="20"/>
        </w:rPr>
      </w:pPr>
      <w:r w:rsidRPr="005D341F">
        <w:rPr>
          <w:bCs/>
          <w:sz w:val="20"/>
          <w:szCs w:val="20"/>
        </w:rPr>
        <w:t>Ingham County Land Bank</w:t>
      </w:r>
      <w:r w:rsidR="003671FD" w:rsidRPr="005D341F">
        <w:rPr>
          <w:bCs/>
          <w:sz w:val="20"/>
          <w:szCs w:val="20"/>
        </w:rPr>
        <w:t xml:space="preserve">  </w:t>
      </w:r>
    </w:p>
    <w:p w14:paraId="68CCED8D" w14:textId="07A07DDC" w:rsidR="003671FD" w:rsidRPr="005D341F" w:rsidRDefault="005D341F" w:rsidP="00524D67">
      <w:pPr>
        <w:spacing w:line="276" w:lineRule="auto"/>
        <w:jc w:val="both"/>
        <w:rPr>
          <w:bCs/>
          <w:sz w:val="20"/>
          <w:szCs w:val="20"/>
        </w:rPr>
      </w:pPr>
      <w:r w:rsidRPr="005D341F">
        <w:rPr>
          <w:bCs/>
          <w:sz w:val="20"/>
          <w:szCs w:val="20"/>
        </w:rPr>
        <w:t>3024 Turner Rd.</w:t>
      </w:r>
    </w:p>
    <w:p w14:paraId="18C21B7B" w14:textId="1F54FDE4" w:rsidR="003671FD" w:rsidRPr="005D341F" w:rsidRDefault="005D341F" w:rsidP="00524D67">
      <w:pPr>
        <w:spacing w:line="276" w:lineRule="auto"/>
        <w:jc w:val="both"/>
        <w:rPr>
          <w:bCs/>
          <w:sz w:val="20"/>
          <w:szCs w:val="20"/>
        </w:rPr>
      </w:pPr>
      <w:r w:rsidRPr="005D341F">
        <w:rPr>
          <w:bCs/>
          <w:sz w:val="20"/>
          <w:szCs w:val="20"/>
        </w:rPr>
        <w:t>Lansing, MI 48906</w:t>
      </w:r>
    </w:p>
    <w:p w14:paraId="69A50EAE" w14:textId="6DAA7161" w:rsidR="003671FD" w:rsidRPr="003671FD" w:rsidRDefault="005D341F" w:rsidP="00524D67">
      <w:pPr>
        <w:spacing w:line="276" w:lineRule="auto"/>
        <w:jc w:val="both"/>
        <w:rPr>
          <w:bCs/>
          <w:sz w:val="20"/>
          <w:szCs w:val="20"/>
        </w:rPr>
      </w:pPr>
      <w:r>
        <w:rPr>
          <w:bCs/>
          <w:sz w:val="20"/>
          <w:szCs w:val="20"/>
        </w:rPr>
        <w:t>517-267-5221</w:t>
      </w:r>
    </w:p>
    <w:p w14:paraId="7C31109C" w14:textId="77777777" w:rsidR="003671FD" w:rsidRPr="003671FD" w:rsidRDefault="003671FD" w:rsidP="00524D67">
      <w:pPr>
        <w:spacing w:line="276" w:lineRule="auto"/>
        <w:jc w:val="both"/>
        <w:rPr>
          <w:b/>
          <w:bCs/>
          <w:sz w:val="20"/>
          <w:szCs w:val="20"/>
        </w:rPr>
      </w:pPr>
    </w:p>
    <w:p w14:paraId="015723FE" w14:textId="158BAD82" w:rsidR="003671FD" w:rsidRPr="003671FD" w:rsidRDefault="003671FD" w:rsidP="00031D45">
      <w:pPr>
        <w:jc w:val="both"/>
        <w:rPr>
          <w:sz w:val="20"/>
          <w:szCs w:val="20"/>
        </w:rPr>
      </w:pPr>
      <w:r w:rsidRPr="003671FD">
        <w:rPr>
          <w:sz w:val="20"/>
          <w:szCs w:val="20"/>
        </w:rPr>
        <w:t>On or about</w:t>
      </w:r>
      <w:r w:rsidRPr="003671FD">
        <w:rPr>
          <w:b/>
          <w:bCs/>
          <w:sz w:val="20"/>
          <w:szCs w:val="20"/>
        </w:rPr>
        <w:t xml:space="preserve"> </w:t>
      </w:r>
      <w:r w:rsidR="005D341F">
        <w:rPr>
          <w:bCs/>
          <w:sz w:val="20"/>
          <w:szCs w:val="20"/>
        </w:rPr>
        <w:t>October 07, 2026</w:t>
      </w:r>
      <w:r w:rsidRPr="003671FD">
        <w:rPr>
          <w:sz w:val="20"/>
          <w:szCs w:val="20"/>
        </w:rPr>
        <w:t xml:space="preserve"> will request the Michigan State Housing Development Authority (MSHDA) to release CDBG funds under Title I of the Housing and Community Development Act of 1974, as amended.</w:t>
      </w:r>
    </w:p>
    <w:p w14:paraId="070C695F" w14:textId="77777777" w:rsidR="003671FD" w:rsidRPr="003671FD" w:rsidRDefault="003671FD" w:rsidP="00031D45">
      <w:pPr>
        <w:jc w:val="both"/>
        <w:rPr>
          <w:sz w:val="20"/>
          <w:szCs w:val="20"/>
        </w:rPr>
      </w:pPr>
    </w:p>
    <w:p w14:paraId="0233076E" w14:textId="4EB2F82E" w:rsidR="003671FD" w:rsidRPr="000169F0" w:rsidRDefault="003671FD" w:rsidP="000169F0">
      <w:pPr>
        <w:jc w:val="both"/>
        <w:rPr>
          <w:sz w:val="20"/>
          <w:szCs w:val="20"/>
        </w:rPr>
      </w:pPr>
      <w:r w:rsidRPr="003671FD">
        <w:rPr>
          <w:sz w:val="20"/>
          <w:szCs w:val="20"/>
        </w:rPr>
        <w:t xml:space="preserve">Program funds will be used to undertake a project known as </w:t>
      </w:r>
      <w:r w:rsidR="00D254B7" w:rsidRPr="00D254B7">
        <w:rPr>
          <w:sz w:val="20"/>
          <w:szCs w:val="20"/>
        </w:rPr>
        <w:t xml:space="preserve">Five Year Environmental Review for MSHDA CDBG-Funded Homeowner Rehabilitation </w:t>
      </w:r>
      <w:r w:rsidRPr="003671FD">
        <w:rPr>
          <w:sz w:val="20"/>
          <w:szCs w:val="20"/>
        </w:rPr>
        <w:t>for the purpose of</w:t>
      </w:r>
      <w:r w:rsidR="00C8310E" w:rsidRPr="00C8310E">
        <w:rPr>
          <w:sz w:val="20"/>
          <w:szCs w:val="20"/>
        </w:rPr>
        <w:t xml:space="preserve"> providing units of local government with funds to provide homeowners, </w:t>
      </w:r>
      <w:r w:rsidR="005D341F">
        <w:rPr>
          <w:rFonts w:cs="Arial"/>
          <w:sz w:val="20"/>
          <w:szCs w:val="20"/>
        </w:rPr>
        <w:t>Ingham County</w:t>
      </w:r>
      <w:r w:rsidR="00C8310E" w:rsidRPr="00C8310E">
        <w:rPr>
          <w:sz w:val="20"/>
          <w:szCs w:val="20"/>
        </w:rPr>
        <w:t>, earning at or below 80% of the area median income with assistance for essential home repairs.</w:t>
      </w:r>
      <w:r w:rsidRPr="003671FD">
        <w:rPr>
          <w:sz w:val="20"/>
          <w:szCs w:val="20"/>
        </w:rPr>
        <w:t xml:space="preserve"> </w:t>
      </w:r>
      <w:r w:rsidR="00C8310E">
        <w:rPr>
          <w:sz w:val="20"/>
          <w:szCs w:val="20"/>
        </w:rPr>
        <w:t xml:space="preserve">The Homeowner Rehabilitation </w:t>
      </w:r>
      <w:r w:rsidR="00297F74">
        <w:rPr>
          <w:sz w:val="20"/>
          <w:szCs w:val="20"/>
        </w:rPr>
        <w:t>program</w:t>
      </w:r>
      <w:r w:rsidR="00C8310E">
        <w:rPr>
          <w:sz w:val="20"/>
          <w:szCs w:val="20"/>
        </w:rPr>
        <w:t xml:space="preserve"> aims to</w:t>
      </w:r>
      <w:r w:rsidR="00C8310E" w:rsidRPr="00C8310E">
        <w:rPr>
          <w:sz w:val="20"/>
          <w:szCs w:val="20"/>
        </w:rPr>
        <w:t xml:space="preserve"> improve quality of life for local residents by funding essential home repairs for properties occupied by households earning at or below 80% of the area median income. All repairs must: be eligible under CDBG guidelines as defined in the MSHDA CDBG Policy Manual; comply with local building codes; and meet the MSHDA Housing Rehabilitation Standards.</w:t>
      </w:r>
      <w:r w:rsidR="00C8310E">
        <w:rPr>
          <w:sz w:val="20"/>
          <w:szCs w:val="20"/>
        </w:rPr>
        <w:t xml:space="preserve"> </w:t>
      </w:r>
      <w:r w:rsidR="00710AF4">
        <w:rPr>
          <w:sz w:val="20"/>
          <w:szCs w:val="20"/>
        </w:rPr>
        <w:t xml:space="preserve">The maximum allowance per household is up to $40,000. </w:t>
      </w:r>
      <w:r w:rsidR="00C8310E" w:rsidRPr="00C8310E">
        <w:rPr>
          <w:sz w:val="20"/>
          <w:szCs w:val="20"/>
        </w:rPr>
        <w:t>The program will service single family homes within</w:t>
      </w:r>
      <w:r w:rsidR="008D4DF7">
        <w:rPr>
          <w:sz w:val="20"/>
          <w:szCs w:val="20"/>
        </w:rPr>
        <w:t xml:space="preserve"> </w:t>
      </w:r>
      <w:r w:rsidR="005D341F">
        <w:rPr>
          <w:sz w:val="20"/>
          <w:szCs w:val="20"/>
        </w:rPr>
        <w:t>Ingham County</w:t>
      </w:r>
      <w:r w:rsidR="00C8310E" w:rsidRPr="00C8310E">
        <w:rPr>
          <w:sz w:val="20"/>
          <w:szCs w:val="20"/>
        </w:rPr>
        <w:t>.</w:t>
      </w:r>
      <w:r w:rsidR="00C8310E">
        <w:rPr>
          <w:sz w:val="20"/>
          <w:szCs w:val="20"/>
        </w:rPr>
        <w:t xml:space="preserve"> </w:t>
      </w:r>
      <w:r w:rsidR="00710AF4" w:rsidRPr="00710AF4">
        <w:rPr>
          <w:sz w:val="20"/>
          <w:szCs w:val="20"/>
        </w:rPr>
        <w:t>The length of time covered by this review is 5 years from release date for the grant numbers</w:t>
      </w:r>
      <w:r w:rsidR="00291732">
        <w:rPr>
          <w:sz w:val="20"/>
          <w:szCs w:val="20"/>
        </w:rPr>
        <w:t xml:space="preserve"> and fiscal years</w:t>
      </w:r>
      <w:r w:rsidR="00710AF4" w:rsidRPr="00710AF4">
        <w:rPr>
          <w:sz w:val="20"/>
          <w:szCs w:val="20"/>
        </w:rPr>
        <w:t>: B-23-DC-26-0001; B-24-DC-26-0001; B-25-DC-26-0001; B-26-DC-26-0001; B-27-DC-26-0001</w:t>
      </w:r>
      <w:r w:rsidR="00DD4A95">
        <w:rPr>
          <w:sz w:val="20"/>
          <w:szCs w:val="20"/>
        </w:rPr>
        <w:t xml:space="preserve"> </w:t>
      </w:r>
      <w:r w:rsidR="005D341F">
        <w:rPr>
          <w:sz w:val="20"/>
          <w:szCs w:val="20"/>
        </w:rPr>
        <w:t>NDD-2023-6073</w:t>
      </w:r>
      <w:r w:rsidR="00710AF4" w:rsidRPr="00710AF4">
        <w:rPr>
          <w:sz w:val="20"/>
          <w:szCs w:val="20"/>
        </w:rPr>
        <w:t xml:space="preserve"> </w:t>
      </w:r>
      <w:r w:rsidRPr="003671FD">
        <w:rPr>
          <w:sz w:val="20"/>
          <w:szCs w:val="20"/>
        </w:rPr>
        <w:t xml:space="preserve">The activities proposed are categorically excluded under HUD regulations at 24 CFR Part 58 from National Environmental Policy Act (NEPA) requirements.  </w:t>
      </w:r>
    </w:p>
    <w:p w14:paraId="7AB0C27D" w14:textId="77777777" w:rsidR="003671FD" w:rsidRPr="003671FD" w:rsidRDefault="003671FD" w:rsidP="00031D45">
      <w:pPr>
        <w:jc w:val="both"/>
        <w:rPr>
          <w:sz w:val="20"/>
          <w:szCs w:val="20"/>
        </w:rPr>
      </w:pPr>
    </w:p>
    <w:p w14:paraId="6A222E75" w14:textId="33247901" w:rsidR="003671FD" w:rsidRPr="003671FD" w:rsidRDefault="003671FD" w:rsidP="00031D45">
      <w:pPr>
        <w:jc w:val="both"/>
        <w:rPr>
          <w:sz w:val="20"/>
          <w:szCs w:val="20"/>
        </w:rPr>
      </w:pPr>
      <w:r w:rsidRPr="003671FD">
        <w:rPr>
          <w:sz w:val="20"/>
          <w:szCs w:val="20"/>
        </w:rPr>
        <w:t>Estimated</w:t>
      </w:r>
      <w:r w:rsidR="00297F74">
        <w:rPr>
          <w:sz w:val="20"/>
          <w:szCs w:val="20"/>
        </w:rPr>
        <w:t xml:space="preserve"> Total</w:t>
      </w:r>
      <w:r w:rsidRPr="003671FD">
        <w:rPr>
          <w:sz w:val="20"/>
          <w:szCs w:val="20"/>
        </w:rPr>
        <w:t xml:space="preserve"> </w:t>
      </w:r>
      <w:r w:rsidR="00297F74">
        <w:rPr>
          <w:sz w:val="20"/>
          <w:szCs w:val="20"/>
        </w:rPr>
        <w:t>Program</w:t>
      </w:r>
      <w:r w:rsidRPr="003671FD">
        <w:rPr>
          <w:sz w:val="20"/>
          <w:szCs w:val="20"/>
        </w:rPr>
        <w:t xml:space="preserve"> Cost: </w:t>
      </w:r>
      <w:r w:rsidR="005D341F">
        <w:rPr>
          <w:sz w:val="20"/>
          <w:szCs w:val="20"/>
        </w:rPr>
        <w:t>3,230,000</w:t>
      </w:r>
    </w:p>
    <w:p w14:paraId="3C5D2D2C" w14:textId="77777777" w:rsidR="003671FD" w:rsidRPr="003671FD" w:rsidRDefault="003671FD" w:rsidP="00031D45">
      <w:pPr>
        <w:jc w:val="both"/>
        <w:rPr>
          <w:sz w:val="20"/>
          <w:szCs w:val="20"/>
        </w:rPr>
      </w:pPr>
    </w:p>
    <w:p w14:paraId="5D9AD5B0" w14:textId="7A766A4F" w:rsidR="003671FD" w:rsidRPr="003671FD" w:rsidRDefault="003671FD" w:rsidP="00031D45">
      <w:pPr>
        <w:jc w:val="both"/>
        <w:rPr>
          <w:sz w:val="20"/>
          <w:szCs w:val="20"/>
        </w:rPr>
      </w:pPr>
      <w:r w:rsidRPr="003671FD">
        <w:rPr>
          <w:sz w:val="20"/>
          <w:szCs w:val="20"/>
        </w:rPr>
        <w:fldChar w:fldCharType="begin">
          <w:ffData>
            <w:name w:val=""/>
            <w:enabled w:val="0"/>
            <w:calcOnExit w:val="0"/>
            <w:textInput>
              <w:default w:val="The Tier I broad assessment of the project area revealed no serious environmental adverse impacts for"/>
            </w:textInput>
          </w:ffData>
        </w:fldChar>
      </w:r>
      <w:r w:rsidRPr="003671FD">
        <w:rPr>
          <w:sz w:val="20"/>
          <w:szCs w:val="20"/>
        </w:rPr>
        <w:instrText xml:space="preserve"> FORMTEXT </w:instrText>
      </w:r>
      <w:r w:rsidRPr="003671FD">
        <w:rPr>
          <w:sz w:val="20"/>
          <w:szCs w:val="20"/>
        </w:rPr>
      </w:r>
      <w:r w:rsidRPr="003671FD">
        <w:rPr>
          <w:sz w:val="20"/>
          <w:szCs w:val="20"/>
        </w:rPr>
        <w:fldChar w:fldCharType="separate"/>
      </w:r>
      <w:r w:rsidRPr="003671FD">
        <w:rPr>
          <w:sz w:val="20"/>
          <w:szCs w:val="20"/>
        </w:rPr>
        <w:t>The Tier I broad assessment of the project area revealed no serious environmental adverse impacts for</w:t>
      </w:r>
      <w:r w:rsidRPr="003671FD">
        <w:rPr>
          <w:sz w:val="20"/>
          <w:szCs w:val="20"/>
        </w:rPr>
        <w:fldChar w:fldCharType="end"/>
      </w:r>
      <w:r w:rsidRPr="003671FD">
        <w:rPr>
          <w:sz w:val="20"/>
          <w:szCs w:val="20"/>
        </w:rPr>
        <w:t>:</w:t>
      </w:r>
      <w:r w:rsidR="0036286A">
        <w:rPr>
          <w:sz w:val="20"/>
          <w:szCs w:val="20"/>
        </w:rPr>
        <w:t xml:space="preserve"> </w:t>
      </w:r>
      <w:r w:rsidR="005A5ADB">
        <w:rPr>
          <w:sz w:val="20"/>
          <w:szCs w:val="20"/>
        </w:rPr>
        <w:t>Clean Air Act;</w:t>
      </w:r>
      <w:r w:rsidR="00E31C16" w:rsidRPr="00E31C16">
        <w:rPr>
          <w:sz w:val="20"/>
          <w:szCs w:val="20"/>
        </w:rPr>
        <w:t xml:space="preserve"> </w:t>
      </w:r>
      <w:r w:rsidR="00E31C16">
        <w:rPr>
          <w:sz w:val="20"/>
          <w:szCs w:val="20"/>
        </w:rPr>
        <w:t xml:space="preserve">Coastal Barrier Resources; </w:t>
      </w:r>
      <w:r w:rsidR="00E31C16" w:rsidRPr="005A5ADB">
        <w:rPr>
          <w:sz w:val="20"/>
          <w:szCs w:val="20"/>
        </w:rPr>
        <w:t xml:space="preserve">Coastal Zone </w:t>
      </w:r>
      <w:proofErr w:type="gramStart"/>
      <w:r w:rsidR="00E31C16" w:rsidRPr="005A5ADB">
        <w:rPr>
          <w:sz w:val="20"/>
          <w:szCs w:val="20"/>
        </w:rPr>
        <w:t>Management</w:t>
      </w:r>
      <w:r w:rsidR="00E31C16">
        <w:rPr>
          <w:sz w:val="20"/>
          <w:szCs w:val="20"/>
        </w:rPr>
        <w:t xml:space="preserve">; </w:t>
      </w:r>
      <w:r w:rsidR="005A5ADB">
        <w:rPr>
          <w:sz w:val="20"/>
          <w:szCs w:val="20"/>
        </w:rPr>
        <w:t xml:space="preserve"> Explosive</w:t>
      </w:r>
      <w:proofErr w:type="gramEnd"/>
      <w:r w:rsidR="005A5ADB">
        <w:rPr>
          <w:sz w:val="20"/>
          <w:szCs w:val="20"/>
        </w:rPr>
        <w:t xml:space="preserve"> &amp; Flam. Operations; Farmlands Protection; </w:t>
      </w:r>
      <w:r w:rsidR="00BC5FC1">
        <w:rPr>
          <w:sz w:val="20"/>
          <w:szCs w:val="20"/>
        </w:rPr>
        <w:t xml:space="preserve">Sole Source Aquifers; </w:t>
      </w:r>
      <w:r w:rsidR="005A5ADB">
        <w:rPr>
          <w:sz w:val="20"/>
          <w:szCs w:val="20"/>
        </w:rPr>
        <w:t>Wetlands Protection;</w:t>
      </w:r>
      <w:r w:rsidR="006C6F10" w:rsidRPr="006C6F10">
        <w:rPr>
          <w:sz w:val="20"/>
          <w:szCs w:val="20"/>
        </w:rPr>
        <w:t xml:space="preserve"> </w:t>
      </w:r>
      <w:r w:rsidR="006C6F10">
        <w:rPr>
          <w:sz w:val="20"/>
          <w:szCs w:val="20"/>
        </w:rPr>
        <w:t xml:space="preserve">Wild and Scenic Rivers; </w:t>
      </w:r>
      <w:r w:rsidR="005A5ADB">
        <w:rPr>
          <w:sz w:val="20"/>
          <w:szCs w:val="20"/>
        </w:rPr>
        <w:t>and Environmental Justice</w:t>
      </w:r>
      <w:r w:rsidRPr="003671FD">
        <w:rPr>
          <w:sz w:val="20"/>
          <w:szCs w:val="20"/>
        </w:rPr>
        <w:t xml:space="preserve">.  </w:t>
      </w:r>
    </w:p>
    <w:p w14:paraId="18049F93" w14:textId="77777777" w:rsidR="003671FD" w:rsidRPr="003671FD" w:rsidRDefault="003671FD" w:rsidP="00031D45">
      <w:pPr>
        <w:jc w:val="both"/>
        <w:rPr>
          <w:sz w:val="20"/>
          <w:szCs w:val="20"/>
        </w:rPr>
      </w:pPr>
    </w:p>
    <w:p w14:paraId="046A8DB1" w14:textId="0B82EFF4" w:rsidR="003671FD" w:rsidRPr="003671FD" w:rsidRDefault="003671FD" w:rsidP="00031D45">
      <w:pPr>
        <w:jc w:val="both"/>
        <w:rPr>
          <w:sz w:val="20"/>
          <w:szCs w:val="20"/>
        </w:rPr>
      </w:pPr>
      <w:r w:rsidRPr="003671FD">
        <w:rPr>
          <w:sz w:val="20"/>
          <w:szCs w:val="20"/>
        </w:rPr>
        <w:fldChar w:fldCharType="begin">
          <w:ffData>
            <w:name w:val=""/>
            <w:enabled/>
            <w:calcOnExit w:val="0"/>
            <w:textInput>
              <w:default w:val="Tier II site-specific environmental analyses will be conducted as project sites are identified and will include the following factors: "/>
            </w:textInput>
          </w:ffData>
        </w:fldChar>
      </w:r>
      <w:r w:rsidRPr="003671FD">
        <w:rPr>
          <w:sz w:val="20"/>
          <w:szCs w:val="20"/>
        </w:rPr>
        <w:instrText xml:space="preserve"> FORMTEXT </w:instrText>
      </w:r>
      <w:r w:rsidRPr="003671FD">
        <w:rPr>
          <w:sz w:val="20"/>
          <w:szCs w:val="20"/>
        </w:rPr>
      </w:r>
      <w:r w:rsidRPr="003671FD">
        <w:rPr>
          <w:sz w:val="20"/>
          <w:szCs w:val="20"/>
        </w:rPr>
        <w:fldChar w:fldCharType="separate"/>
      </w:r>
      <w:r w:rsidRPr="003671FD">
        <w:rPr>
          <w:sz w:val="20"/>
          <w:szCs w:val="20"/>
        </w:rPr>
        <w:t xml:space="preserve">Tier II site-specific environmental analyses will be conducted as project sites are identified and will include the following factors: </w:t>
      </w:r>
      <w:r w:rsidRPr="003671FD">
        <w:rPr>
          <w:sz w:val="20"/>
          <w:szCs w:val="20"/>
        </w:rPr>
        <w:fldChar w:fldCharType="end"/>
      </w:r>
      <w:r w:rsidR="0036286A">
        <w:rPr>
          <w:sz w:val="20"/>
          <w:szCs w:val="20"/>
        </w:rPr>
        <w:t xml:space="preserve"> </w:t>
      </w:r>
      <w:r w:rsidR="009B62F1">
        <w:rPr>
          <w:sz w:val="20"/>
          <w:szCs w:val="20"/>
        </w:rPr>
        <w:t xml:space="preserve">Airport Hazards; </w:t>
      </w:r>
      <w:r w:rsidR="005A5ADB" w:rsidRPr="005A5ADB">
        <w:rPr>
          <w:sz w:val="20"/>
          <w:szCs w:val="20"/>
        </w:rPr>
        <w:t xml:space="preserve">Flood Insurance; Contamination and Toxic Substances; Endangered Species; Floodplain Management; Historic </w:t>
      </w:r>
      <w:r w:rsidR="00C8310E" w:rsidRPr="005A5ADB">
        <w:rPr>
          <w:sz w:val="20"/>
          <w:szCs w:val="20"/>
        </w:rPr>
        <w:t>Preservation</w:t>
      </w:r>
      <w:r w:rsidR="00C8310E">
        <w:rPr>
          <w:sz w:val="20"/>
          <w:szCs w:val="20"/>
        </w:rPr>
        <w:t>, SHPO</w:t>
      </w:r>
      <w:r w:rsidR="005A5ADB" w:rsidRPr="005A5ADB">
        <w:rPr>
          <w:sz w:val="20"/>
          <w:szCs w:val="20"/>
        </w:rPr>
        <w:t>;</w:t>
      </w:r>
      <w:r w:rsidR="00C8310E" w:rsidRPr="00C8310E">
        <w:rPr>
          <w:sz w:val="20"/>
          <w:szCs w:val="20"/>
        </w:rPr>
        <w:t xml:space="preserve"> </w:t>
      </w:r>
      <w:r w:rsidR="00C8310E" w:rsidRPr="005A5ADB">
        <w:rPr>
          <w:sz w:val="20"/>
          <w:szCs w:val="20"/>
        </w:rPr>
        <w:t>Historic Preservation</w:t>
      </w:r>
      <w:r w:rsidR="00C8310E">
        <w:rPr>
          <w:sz w:val="20"/>
          <w:szCs w:val="20"/>
        </w:rPr>
        <w:t>, THPO;</w:t>
      </w:r>
      <w:r w:rsidR="005A5ADB" w:rsidRPr="005A5ADB">
        <w:rPr>
          <w:sz w:val="20"/>
          <w:szCs w:val="20"/>
        </w:rPr>
        <w:t xml:space="preserve"> </w:t>
      </w:r>
      <w:r w:rsidR="00DD13D9">
        <w:rPr>
          <w:sz w:val="20"/>
          <w:szCs w:val="20"/>
        </w:rPr>
        <w:t xml:space="preserve">and </w:t>
      </w:r>
      <w:r w:rsidR="005A5ADB" w:rsidRPr="005A5ADB">
        <w:rPr>
          <w:sz w:val="20"/>
          <w:szCs w:val="20"/>
        </w:rPr>
        <w:t>Noise Abatement and Contro</w:t>
      </w:r>
      <w:r w:rsidR="00C8310E">
        <w:rPr>
          <w:sz w:val="20"/>
          <w:szCs w:val="20"/>
        </w:rPr>
        <w:t>l</w:t>
      </w:r>
      <w:r w:rsidR="00291732">
        <w:rPr>
          <w:sz w:val="20"/>
          <w:szCs w:val="20"/>
        </w:rPr>
        <w:t xml:space="preserve">. </w:t>
      </w:r>
    </w:p>
    <w:p w14:paraId="06CA7720" w14:textId="77777777" w:rsidR="003671FD" w:rsidRPr="003671FD" w:rsidRDefault="003671FD" w:rsidP="00031D45">
      <w:pPr>
        <w:jc w:val="both"/>
        <w:rPr>
          <w:sz w:val="20"/>
          <w:szCs w:val="20"/>
        </w:rPr>
      </w:pPr>
    </w:p>
    <w:p w14:paraId="2048C677" w14:textId="37C13C39" w:rsidR="003671FD" w:rsidRPr="003671FD" w:rsidRDefault="003671FD" w:rsidP="00031D45">
      <w:pPr>
        <w:jc w:val="both"/>
        <w:rPr>
          <w:sz w:val="20"/>
          <w:szCs w:val="20"/>
        </w:rPr>
      </w:pPr>
      <w:r w:rsidRPr="003671FD">
        <w:rPr>
          <w:sz w:val="20"/>
          <w:szCs w:val="20"/>
        </w:rPr>
        <w:t xml:space="preserve">An Environmental Review Record (ERR) that documents the environmental determinations for this project is on file at </w:t>
      </w:r>
      <w:r w:rsidR="005D341F">
        <w:rPr>
          <w:sz w:val="20"/>
          <w:szCs w:val="20"/>
        </w:rPr>
        <w:t>Ingham County Land Bank, 3024 Turner Rd., Lansing, MI 48906</w:t>
      </w:r>
      <w:r w:rsidRPr="003671FD">
        <w:rPr>
          <w:sz w:val="20"/>
          <w:szCs w:val="20"/>
        </w:rPr>
        <w:t xml:space="preserve">.  The record is available for review and may be examined or copied weekdays, 8 a.m. to </w:t>
      </w:r>
      <w:r w:rsidR="005D341F">
        <w:rPr>
          <w:sz w:val="20"/>
          <w:szCs w:val="20"/>
        </w:rPr>
        <w:t>4:30</w:t>
      </w:r>
      <w:r w:rsidRPr="003671FD">
        <w:rPr>
          <w:sz w:val="20"/>
          <w:szCs w:val="20"/>
        </w:rPr>
        <w:t xml:space="preserve"> p.m.</w:t>
      </w:r>
    </w:p>
    <w:p w14:paraId="22F293C8" w14:textId="77777777" w:rsidR="003671FD" w:rsidRPr="003671FD" w:rsidRDefault="003671FD" w:rsidP="003671FD">
      <w:pPr>
        <w:rPr>
          <w:sz w:val="20"/>
          <w:szCs w:val="20"/>
        </w:rPr>
      </w:pPr>
    </w:p>
    <w:p w14:paraId="4F1C1D3F" w14:textId="77777777" w:rsidR="003671FD" w:rsidRPr="003671FD" w:rsidRDefault="003671FD" w:rsidP="00230E19">
      <w:pPr>
        <w:jc w:val="center"/>
        <w:rPr>
          <w:b/>
          <w:sz w:val="20"/>
          <w:szCs w:val="20"/>
        </w:rPr>
      </w:pPr>
      <w:r w:rsidRPr="003671FD">
        <w:rPr>
          <w:b/>
          <w:sz w:val="20"/>
          <w:szCs w:val="20"/>
        </w:rPr>
        <w:t>PUBLIC COMMENTS</w:t>
      </w:r>
    </w:p>
    <w:p w14:paraId="049ADF92" w14:textId="77777777" w:rsidR="003671FD" w:rsidRPr="003671FD" w:rsidRDefault="003671FD" w:rsidP="003671FD">
      <w:pPr>
        <w:rPr>
          <w:sz w:val="20"/>
          <w:szCs w:val="20"/>
        </w:rPr>
      </w:pPr>
    </w:p>
    <w:p w14:paraId="447F83CF" w14:textId="565DDE76" w:rsidR="003671FD" w:rsidRPr="003671FD" w:rsidRDefault="003671FD" w:rsidP="00031D45">
      <w:pPr>
        <w:jc w:val="both"/>
        <w:rPr>
          <w:sz w:val="20"/>
          <w:szCs w:val="20"/>
        </w:rPr>
      </w:pPr>
      <w:r w:rsidRPr="003671FD">
        <w:rPr>
          <w:sz w:val="20"/>
          <w:szCs w:val="20"/>
        </w:rPr>
        <w:t xml:space="preserve">Any individual, group, or agency may submit written comments on the ERR to </w:t>
      </w:r>
      <w:r w:rsidR="005D341F">
        <w:rPr>
          <w:sz w:val="20"/>
          <w:szCs w:val="20"/>
        </w:rPr>
        <w:t>Ingham County Land Bank</w:t>
      </w:r>
      <w:r w:rsidRPr="003671FD">
        <w:rPr>
          <w:sz w:val="20"/>
          <w:szCs w:val="20"/>
        </w:rPr>
        <w:t xml:space="preserve">.  All comments received by </w:t>
      </w:r>
      <w:r w:rsidR="005D341F">
        <w:rPr>
          <w:sz w:val="20"/>
          <w:szCs w:val="20"/>
        </w:rPr>
        <w:t>September 18, 2026</w:t>
      </w:r>
      <w:r w:rsidRPr="003671FD">
        <w:rPr>
          <w:sz w:val="20"/>
          <w:szCs w:val="20"/>
        </w:rPr>
        <w:t xml:space="preserve"> will be considered prior to requesting a release of funds.</w:t>
      </w:r>
    </w:p>
    <w:p w14:paraId="15C31E3E" w14:textId="77777777" w:rsidR="00230E19" w:rsidRDefault="00230E19" w:rsidP="003671FD">
      <w:pPr>
        <w:rPr>
          <w:b/>
          <w:sz w:val="20"/>
          <w:szCs w:val="20"/>
        </w:rPr>
      </w:pPr>
    </w:p>
    <w:p w14:paraId="6AF076A3" w14:textId="6F471A26" w:rsidR="003671FD" w:rsidRPr="003671FD" w:rsidRDefault="003671FD" w:rsidP="00230E19">
      <w:pPr>
        <w:jc w:val="center"/>
        <w:rPr>
          <w:b/>
          <w:sz w:val="20"/>
          <w:szCs w:val="20"/>
        </w:rPr>
      </w:pPr>
      <w:r w:rsidRPr="003671FD">
        <w:rPr>
          <w:b/>
          <w:sz w:val="20"/>
          <w:szCs w:val="20"/>
        </w:rPr>
        <w:t>ENVIRONMENTAL CERTIFICATION</w:t>
      </w:r>
    </w:p>
    <w:p w14:paraId="39F7329B" w14:textId="77777777" w:rsidR="00230E19" w:rsidRDefault="00230E19" w:rsidP="003671FD">
      <w:pPr>
        <w:rPr>
          <w:sz w:val="20"/>
          <w:szCs w:val="20"/>
        </w:rPr>
      </w:pPr>
    </w:p>
    <w:p w14:paraId="26042E46" w14:textId="0A5B0451" w:rsidR="003671FD" w:rsidRPr="003671FD" w:rsidRDefault="005D341F" w:rsidP="00031D45">
      <w:pPr>
        <w:jc w:val="both"/>
        <w:rPr>
          <w:sz w:val="20"/>
          <w:szCs w:val="20"/>
        </w:rPr>
      </w:pPr>
      <w:r>
        <w:rPr>
          <w:sz w:val="20"/>
          <w:szCs w:val="20"/>
        </w:rPr>
        <w:t>Ingham County Land Bank</w:t>
      </w:r>
      <w:r w:rsidR="003671FD" w:rsidRPr="003671FD">
        <w:rPr>
          <w:sz w:val="20"/>
          <w:szCs w:val="20"/>
        </w:rPr>
        <w:t xml:space="preserve"> certifies to MSHDA that </w:t>
      </w:r>
      <w:r>
        <w:rPr>
          <w:bCs/>
          <w:sz w:val="20"/>
          <w:szCs w:val="20"/>
        </w:rPr>
        <w:t>Ingham County Land Bank</w:t>
      </w:r>
      <w:r w:rsidR="003671FD" w:rsidRPr="003671FD">
        <w:rPr>
          <w:sz w:val="20"/>
          <w:szCs w:val="20"/>
        </w:rPr>
        <w:t xml:space="preserve"> and </w:t>
      </w:r>
      <w:r>
        <w:rPr>
          <w:bCs/>
          <w:sz w:val="20"/>
          <w:szCs w:val="20"/>
        </w:rPr>
        <w:t>Roxanne Case</w:t>
      </w:r>
      <w:r w:rsidR="003671FD" w:rsidRPr="003671FD">
        <w:rPr>
          <w:sz w:val="20"/>
          <w:szCs w:val="20"/>
        </w:rPr>
        <w:t xml:space="preserve"> in his/her capacity as </w:t>
      </w:r>
      <w:r>
        <w:rPr>
          <w:sz w:val="20"/>
          <w:szCs w:val="20"/>
        </w:rPr>
        <w:t>Executive Director</w:t>
      </w:r>
      <w:r w:rsidR="003671FD" w:rsidRPr="003671FD">
        <w:rPr>
          <w:sz w:val="20"/>
          <w:szCs w:val="20"/>
        </w:rPr>
        <w:t xml:space="preserve"> and Certifying Officer, consents to accept the jurisdiction of the Federal Courts if an action is brought to enforce responsibilities in relation to the environmental review process and that these responsibilities have been satisfied.  MSHDA's approval of the certification satisfies its responsibilities under NEPA and related laws and authorities and allows </w:t>
      </w:r>
      <w:r>
        <w:rPr>
          <w:sz w:val="20"/>
          <w:szCs w:val="20"/>
        </w:rPr>
        <w:t>Ingham County Land Bank</w:t>
      </w:r>
      <w:r w:rsidR="003671FD" w:rsidRPr="003671FD">
        <w:rPr>
          <w:sz w:val="20"/>
          <w:szCs w:val="20"/>
        </w:rPr>
        <w:t xml:space="preserve"> to use HUD Program funds.</w:t>
      </w:r>
    </w:p>
    <w:p w14:paraId="219F1B11" w14:textId="77777777" w:rsidR="00230E19" w:rsidRDefault="00230E19" w:rsidP="003671FD">
      <w:pPr>
        <w:rPr>
          <w:b/>
          <w:sz w:val="20"/>
          <w:szCs w:val="20"/>
        </w:rPr>
      </w:pPr>
    </w:p>
    <w:p w14:paraId="096FEC01" w14:textId="5B5D33F5" w:rsidR="003671FD" w:rsidRPr="003671FD" w:rsidRDefault="003671FD" w:rsidP="00031D45">
      <w:pPr>
        <w:jc w:val="center"/>
        <w:rPr>
          <w:b/>
          <w:sz w:val="20"/>
          <w:szCs w:val="20"/>
        </w:rPr>
      </w:pPr>
      <w:r w:rsidRPr="003671FD">
        <w:rPr>
          <w:b/>
          <w:sz w:val="20"/>
          <w:szCs w:val="20"/>
        </w:rPr>
        <w:t>OBJECTIONS TO RELEASE OF FUNDS</w:t>
      </w:r>
    </w:p>
    <w:p w14:paraId="1C2BCCB5" w14:textId="77777777" w:rsidR="00031D45" w:rsidRDefault="00031D45" w:rsidP="003671FD">
      <w:pPr>
        <w:rPr>
          <w:sz w:val="20"/>
          <w:szCs w:val="20"/>
        </w:rPr>
      </w:pPr>
    </w:p>
    <w:p w14:paraId="25BD9B29" w14:textId="377CC1A9" w:rsidR="003671FD" w:rsidRPr="003671FD" w:rsidRDefault="003671FD" w:rsidP="00031D45">
      <w:pPr>
        <w:jc w:val="both"/>
        <w:rPr>
          <w:sz w:val="20"/>
          <w:szCs w:val="20"/>
        </w:rPr>
      </w:pPr>
      <w:r w:rsidRPr="003671FD">
        <w:rPr>
          <w:sz w:val="20"/>
          <w:szCs w:val="20"/>
        </w:rPr>
        <w:t xml:space="preserve">MSHDA will accept objections to its release of funds and the Grantee’s certification for a period of fifteen days following the anticipated submission date or its actual receipt of the request (whichever is later) only if they are on one of the following bases: (a) the certification was not executed by the Certifying Officer of the Grantee; (b) the Certifying Officer has omitted a step or failed to make a decision or finding required by HUD regulations at 24 </w:t>
      </w:r>
      <w:smartTag w:uri="urn:schemas-microsoft-com:office:smarttags" w:element="stockticker">
        <w:r w:rsidRPr="003671FD">
          <w:rPr>
            <w:sz w:val="20"/>
            <w:szCs w:val="20"/>
          </w:rPr>
          <w:t>CFR</w:t>
        </w:r>
      </w:smartTag>
      <w:r w:rsidRPr="003671FD">
        <w:rPr>
          <w:sz w:val="20"/>
          <w:szCs w:val="20"/>
        </w:rPr>
        <w:t xml:space="preserve"> Part 58; (c) the grant recipient or other participants in the development process has committed funds or incurred costs not authorized by 24 </w:t>
      </w:r>
      <w:smartTag w:uri="urn:schemas-microsoft-com:office:smarttags" w:element="stockticker">
        <w:r w:rsidRPr="003671FD">
          <w:rPr>
            <w:sz w:val="20"/>
            <w:szCs w:val="20"/>
          </w:rPr>
          <w:t>CFR</w:t>
        </w:r>
      </w:smartTag>
      <w:r w:rsidRPr="003671FD">
        <w:rPr>
          <w:sz w:val="20"/>
          <w:szCs w:val="20"/>
        </w:rPr>
        <w:t xml:space="preserve"> Part 58 before approval of a release of funds by MSHDA; or (d) another Federal agency acting pursuant to 40 </w:t>
      </w:r>
      <w:smartTag w:uri="urn:schemas-microsoft-com:office:smarttags" w:element="stockticker">
        <w:r w:rsidRPr="003671FD">
          <w:rPr>
            <w:sz w:val="20"/>
            <w:szCs w:val="20"/>
          </w:rPr>
          <w:t>CFR</w:t>
        </w:r>
      </w:smartTag>
      <w:r w:rsidRPr="003671FD">
        <w:rPr>
          <w:sz w:val="20"/>
          <w:szCs w:val="20"/>
        </w:rPr>
        <w:t xml:space="preserve"> </w:t>
      </w:r>
      <w:r w:rsidRPr="00297F74">
        <w:rPr>
          <w:sz w:val="20"/>
          <w:szCs w:val="20"/>
        </w:rPr>
        <w:t xml:space="preserve">Part 1504 has submitted a written finding that the project is unsatisfactory from the standpoint of environmental quality. Objections must be prepared and submitted in accordance with the required procedures (24 </w:t>
      </w:r>
      <w:smartTag w:uri="urn:schemas-microsoft-com:office:smarttags" w:element="stockticker">
        <w:r w:rsidRPr="00297F74">
          <w:rPr>
            <w:sz w:val="20"/>
            <w:szCs w:val="20"/>
          </w:rPr>
          <w:t>CFR</w:t>
        </w:r>
      </w:smartTag>
      <w:r w:rsidRPr="00297F74">
        <w:rPr>
          <w:sz w:val="20"/>
          <w:szCs w:val="20"/>
        </w:rPr>
        <w:t xml:space="preserve"> Part 58, Sec. 58.76) and </w:t>
      </w:r>
      <w:r w:rsidR="00DE280B" w:rsidRPr="00297F74">
        <w:rPr>
          <w:sz w:val="20"/>
          <w:szCs w:val="20"/>
        </w:rPr>
        <w:t xml:space="preserve">can be sent </w:t>
      </w:r>
      <w:r w:rsidR="00494607" w:rsidRPr="00297F74">
        <w:rPr>
          <w:sz w:val="20"/>
          <w:szCs w:val="20"/>
        </w:rPr>
        <w:t xml:space="preserve">via email </w:t>
      </w:r>
      <w:r w:rsidR="00DE280B" w:rsidRPr="00297F74">
        <w:rPr>
          <w:sz w:val="20"/>
          <w:szCs w:val="20"/>
        </w:rPr>
        <w:t>to</w:t>
      </w:r>
      <w:r w:rsidRPr="00297F74">
        <w:rPr>
          <w:sz w:val="20"/>
          <w:szCs w:val="20"/>
        </w:rPr>
        <w:t xml:space="preserve"> </w:t>
      </w:r>
      <w:hyperlink r:id="rId10" w:history="1">
        <w:r w:rsidR="00494607" w:rsidRPr="00297F74">
          <w:rPr>
            <w:rStyle w:val="Hyperlink"/>
            <w:sz w:val="20"/>
            <w:szCs w:val="20"/>
          </w:rPr>
          <w:t>mshda-cdbg@michigan.gov</w:t>
        </w:r>
      </w:hyperlink>
      <w:r w:rsidR="00494607" w:rsidRPr="00297F74">
        <w:rPr>
          <w:sz w:val="20"/>
          <w:szCs w:val="20"/>
        </w:rPr>
        <w:t xml:space="preserve"> or through the mail, </w:t>
      </w:r>
      <w:r w:rsidRPr="00297F74">
        <w:rPr>
          <w:sz w:val="20"/>
          <w:szCs w:val="20"/>
        </w:rPr>
        <w:t>addressed to MSHDA - CDBG, 735 East Michigan Avenue, Lansing, MI 48912.  Potential objectors should contact MSHDA to verify the actual last day of the objection period.</w:t>
      </w:r>
    </w:p>
    <w:p w14:paraId="75F64198" w14:textId="77777777" w:rsidR="003671FD" w:rsidRPr="003671FD" w:rsidRDefault="003671FD" w:rsidP="003671FD">
      <w:pPr>
        <w:rPr>
          <w:b/>
          <w:sz w:val="20"/>
          <w:szCs w:val="20"/>
        </w:rPr>
      </w:pPr>
    </w:p>
    <w:p w14:paraId="033F4BEC" w14:textId="6EF73FD6" w:rsidR="003671FD" w:rsidRPr="00ED7280" w:rsidRDefault="005D341F" w:rsidP="003671FD">
      <w:pPr>
        <w:rPr>
          <w:sz w:val="20"/>
          <w:szCs w:val="20"/>
        </w:rPr>
      </w:pPr>
      <w:r w:rsidRPr="00ED7280">
        <w:rPr>
          <w:b/>
          <w:sz w:val="20"/>
          <w:szCs w:val="20"/>
        </w:rPr>
        <w:t>Roxanne Case</w:t>
      </w:r>
      <w:r w:rsidR="00ED7280" w:rsidRPr="00ED7280">
        <w:rPr>
          <w:b/>
          <w:sz w:val="20"/>
          <w:szCs w:val="20"/>
        </w:rPr>
        <w:t xml:space="preserve">, Executive Director </w:t>
      </w:r>
    </w:p>
    <w:p w14:paraId="2E505F32" w14:textId="77777777" w:rsidR="003671FD" w:rsidRPr="003671FD" w:rsidRDefault="003671FD" w:rsidP="003671FD">
      <w:pPr>
        <w:rPr>
          <w:b/>
          <w:bCs/>
          <w:sz w:val="20"/>
          <w:szCs w:val="20"/>
        </w:rPr>
      </w:pPr>
      <w:r w:rsidRPr="00ED7280">
        <w:rPr>
          <w:b/>
          <w:bCs/>
          <w:sz w:val="20"/>
          <w:szCs w:val="20"/>
        </w:rPr>
        <w:t>Grantee</w:t>
      </w:r>
    </w:p>
    <w:p w14:paraId="2BBE7AB3" w14:textId="686977A9" w:rsidR="00F62C47" w:rsidRPr="00F239E3" w:rsidRDefault="00F62C47" w:rsidP="00F239E3">
      <w:pPr>
        <w:rPr>
          <w:sz w:val="20"/>
          <w:szCs w:val="20"/>
        </w:rPr>
      </w:pPr>
    </w:p>
    <w:sectPr w:rsidR="00F62C47" w:rsidRPr="00F239E3" w:rsidSect="004923D5">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E16DA" w14:textId="77777777" w:rsidR="00802F17" w:rsidRDefault="00802F17" w:rsidP="003A139D">
      <w:r>
        <w:separator/>
      </w:r>
    </w:p>
  </w:endnote>
  <w:endnote w:type="continuationSeparator" w:id="0">
    <w:p w14:paraId="6484D9E0" w14:textId="77777777" w:rsidR="00802F17" w:rsidRDefault="00802F17" w:rsidP="003A1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9C720" w14:textId="77777777" w:rsidR="00D530B7" w:rsidRPr="00D530B7" w:rsidRDefault="00D530B7" w:rsidP="00D530B7">
    <w:pPr>
      <w:pBdr>
        <w:bottom w:val="single" w:sz="6" w:space="1" w:color="auto"/>
      </w:pBdr>
      <w:tabs>
        <w:tab w:val="center" w:pos="4680"/>
        <w:tab w:val="right" w:pos="8280"/>
      </w:tabs>
      <w:rPr>
        <w:rFonts w:ascii="Calibri Light" w:eastAsia="Calibri" w:hAnsi="Calibri Light" w:cs="Times New Roman"/>
        <w:color w:val="000000"/>
        <w:sz w:val="18"/>
      </w:rPr>
    </w:pPr>
  </w:p>
  <w:p w14:paraId="7D92F1EA" w14:textId="40D2BA6F" w:rsidR="004E3417" w:rsidRDefault="002B4D60" w:rsidP="00176668">
    <w:pPr>
      <w:tabs>
        <w:tab w:val="center" w:pos="4680"/>
        <w:tab w:val="right" w:pos="9360"/>
      </w:tabs>
      <w:jc w:val="center"/>
      <w:rPr>
        <w:rFonts w:ascii="Calibri Light" w:eastAsia="Calibri" w:hAnsi="Calibri Light" w:cs="Times New Roman"/>
        <w:color w:val="000000"/>
        <w:sz w:val="18"/>
      </w:rPr>
    </w:pPr>
    <w:r>
      <w:rPr>
        <w:rFonts w:ascii="Calibri Light" w:eastAsia="Calibri" w:hAnsi="Calibri Light" w:cs="Times New Roman"/>
        <w:color w:val="000000"/>
        <w:sz w:val="18"/>
      </w:rPr>
      <w:t>07-L</w:t>
    </w:r>
    <w:r w:rsidR="00230E19">
      <w:rPr>
        <w:rFonts w:ascii="Calibri Light" w:eastAsia="Calibri" w:hAnsi="Calibri Light" w:cs="Times New Roman"/>
        <w:color w:val="000000"/>
        <w:sz w:val="18"/>
      </w:rPr>
      <w:t xml:space="preserve"> NOI RROF FOR TIERED PROJECTS</w:t>
    </w:r>
    <w:r w:rsidR="00D530B7" w:rsidRPr="00D530B7">
      <w:rPr>
        <w:rFonts w:ascii="Calibri Light" w:eastAsia="Calibri" w:hAnsi="Calibri Light" w:cs="Times New Roman"/>
        <w:color w:val="000000"/>
        <w:sz w:val="18"/>
      </w:rPr>
      <w:tab/>
    </w:r>
    <w:r w:rsidR="00D530B7" w:rsidRPr="00D530B7">
      <w:rPr>
        <w:rFonts w:ascii="Calibri Light" w:eastAsia="Calibri" w:hAnsi="Calibri Light" w:cs="Times New Roman"/>
        <w:color w:val="000000"/>
        <w:sz w:val="18"/>
      </w:rPr>
      <w:tab/>
      <w:t>0</w:t>
    </w:r>
    <w:r w:rsidR="001E573D">
      <w:rPr>
        <w:rFonts w:ascii="Calibri Light" w:eastAsia="Calibri" w:hAnsi="Calibri Light" w:cs="Times New Roman"/>
        <w:color w:val="000000"/>
        <w:sz w:val="18"/>
      </w:rPr>
      <w:t>7</w:t>
    </w:r>
    <w:r w:rsidR="00D530B7" w:rsidRPr="00D530B7">
      <w:rPr>
        <w:rFonts w:ascii="Calibri Light" w:eastAsia="Calibri" w:hAnsi="Calibri Light" w:cs="Times New Roman"/>
        <w:color w:val="000000"/>
        <w:sz w:val="18"/>
      </w:rPr>
      <w:t>/</w:t>
    </w:r>
    <w:r w:rsidR="0091300C">
      <w:rPr>
        <w:rFonts w:ascii="Calibri Light" w:eastAsia="Calibri" w:hAnsi="Calibri Light" w:cs="Times New Roman"/>
        <w:color w:val="000000"/>
        <w:sz w:val="18"/>
      </w:rPr>
      <w:t>30</w:t>
    </w:r>
    <w:r w:rsidR="00D530B7" w:rsidRPr="00D530B7">
      <w:rPr>
        <w:rFonts w:ascii="Calibri Light" w:eastAsia="Calibri" w:hAnsi="Calibri Light" w:cs="Times New Roman"/>
        <w:color w:val="000000"/>
        <w:sz w:val="18"/>
      </w:rPr>
      <w:t>/</w:t>
    </w:r>
    <w:r w:rsidR="00FE2B22">
      <w:rPr>
        <w:rFonts w:ascii="Calibri Light" w:eastAsia="Calibri" w:hAnsi="Calibri Light" w:cs="Times New Roman"/>
        <w:color w:val="000000"/>
        <w:sz w:val="18"/>
      </w:rPr>
      <w:t>2</w:t>
    </w:r>
    <w:r w:rsidR="00593C85">
      <w:rPr>
        <w:rFonts w:ascii="Calibri Light" w:eastAsia="Calibri" w:hAnsi="Calibri Light" w:cs="Times New Roman"/>
        <w:color w:val="000000"/>
        <w:sz w:val="18"/>
      </w:rPr>
      <w:t>4</w:t>
    </w:r>
  </w:p>
  <w:p w14:paraId="63E41E22" w14:textId="5BC1C653" w:rsidR="00C07CFB" w:rsidRPr="00D530B7" w:rsidRDefault="00C07CFB" w:rsidP="00C07CFB">
    <w:pPr>
      <w:tabs>
        <w:tab w:val="right" w:pos="9360"/>
      </w:tabs>
      <w:jc w:val="center"/>
      <w:rPr>
        <w:rFonts w:ascii="Calibri Light" w:eastAsia="Calibri" w:hAnsi="Calibri Light" w:cs="Times New Roman"/>
        <w:color w:val="000000"/>
        <w:sz w:val="18"/>
      </w:rPr>
    </w:pPr>
    <w:r w:rsidRPr="00C07CFB">
      <w:rPr>
        <w:rFonts w:ascii="Calibri Light" w:eastAsia="Calibri" w:hAnsi="Calibri Light" w:cs="Times New Roman"/>
        <w:color w:val="000000"/>
        <w:sz w:val="18"/>
      </w:rPr>
      <w:fldChar w:fldCharType="begin"/>
    </w:r>
    <w:r w:rsidRPr="00C07CFB">
      <w:rPr>
        <w:rFonts w:ascii="Calibri Light" w:eastAsia="Calibri" w:hAnsi="Calibri Light" w:cs="Times New Roman"/>
        <w:color w:val="000000"/>
        <w:sz w:val="18"/>
      </w:rPr>
      <w:instrText xml:space="preserve"> PAGE   \* MERGEFORMAT </w:instrText>
    </w:r>
    <w:r w:rsidRPr="00C07CFB">
      <w:rPr>
        <w:rFonts w:ascii="Calibri Light" w:eastAsia="Calibri" w:hAnsi="Calibri Light" w:cs="Times New Roman"/>
        <w:color w:val="000000"/>
        <w:sz w:val="18"/>
      </w:rPr>
      <w:fldChar w:fldCharType="separate"/>
    </w:r>
    <w:r w:rsidRPr="00C07CFB">
      <w:rPr>
        <w:rFonts w:ascii="Calibri Light" w:eastAsia="Calibri" w:hAnsi="Calibri Light" w:cs="Times New Roman"/>
        <w:noProof/>
        <w:color w:val="000000"/>
        <w:sz w:val="18"/>
      </w:rPr>
      <w:t>1</w:t>
    </w:r>
    <w:r w:rsidRPr="00C07CFB">
      <w:rPr>
        <w:rFonts w:ascii="Calibri Light" w:eastAsia="Calibri" w:hAnsi="Calibri Light" w:cs="Times New Roman"/>
        <w:noProof/>
        <w:color w:val="00000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C4B2DC" w14:textId="77777777" w:rsidR="00802F17" w:rsidRDefault="00802F17" w:rsidP="003A139D">
      <w:r>
        <w:separator/>
      </w:r>
    </w:p>
  </w:footnote>
  <w:footnote w:type="continuationSeparator" w:id="0">
    <w:p w14:paraId="71CDD58E" w14:textId="77777777" w:rsidR="00802F17" w:rsidRDefault="00802F17" w:rsidP="003A1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F1888" w14:textId="6077A78C" w:rsidR="00D530B7" w:rsidRPr="00D530B7" w:rsidRDefault="00595B1D" w:rsidP="00D530B7">
    <w:pPr>
      <w:pBdr>
        <w:bottom w:val="single" w:sz="2" w:space="1" w:color="auto"/>
      </w:pBdr>
      <w:tabs>
        <w:tab w:val="center" w:pos="4680"/>
        <w:tab w:val="right" w:pos="9360"/>
      </w:tabs>
      <w:rPr>
        <w:rFonts w:ascii="Calibri Light" w:eastAsia="Calibri" w:hAnsi="Calibri Light" w:cs="Times New Roman"/>
        <w:color w:val="000000"/>
        <w:sz w:val="18"/>
      </w:rPr>
    </w:pPr>
    <w:r>
      <w:rPr>
        <w:rFonts w:cstheme="minorHAnsi"/>
        <w:color w:val="000000" w:themeColor="text1"/>
        <w:sz w:val="18"/>
      </w:rPr>
      <w:t>MICHIGAN STATE HOUSING DEVELOPMENT AUTHORITY</w:t>
    </w:r>
    <w:r w:rsidR="00D530B7" w:rsidRPr="00D530B7">
      <w:rPr>
        <w:rFonts w:ascii="Calibri Light" w:eastAsia="Calibri" w:hAnsi="Calibri Light" w:cs="Times New Roman"/>
        <w:color w:val="000000"/>
        <w:sz w:val="18"/>
      </w:rPr>
      <w:tab/>
    </w:r>
    <w:r w:rsidR="00D530B7" w:rsidRPr="00D530B7">
      <w:rPr>
        <w:rFonts w:ascii="Calibri Light" w:eastAsia="Calibri" w:hAnsi="Calibri Light" w:cs="Times New Roman"/>
        <w:color w:val="000000"/>
        <w:sz w:val="18"/>
      </w:rPr>
      <w:tab/>
      <w:t>CDBG</w:t>
    </w:r>
  </w:p>
  <w:p w14:paraId="3800DA37" w14:textId="77777777" w:rsidR="00D530B7" w:rsidRDefault="00D530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39D"/>
    <w:rsid w:val="000169F0"/>
    <w:rsid w:val="00031D45"/>
    <w:rsid w:val="00055CDD"/>
    <w:rsid w:val="00055ED1"/>
    <w:rsid w:val="0007494C"/>
    <w:rsid w:val="000A42EF"/>
    <w:rsid w:val="000E0036"/>
    <w:rsid w:val="00103E4A"/>
    <w:rsid w:val="00131EEA"/>
    <w:rsid w:val="001533D1"/>
    <w:rsid w:val="00153987"/>
    <w:rsid w:val="00176668"/>
    <w:rsid w:val="001A342D"/>
    <w:rsid w:val="001D1A77"/>
    <w:rsid w:val="001E573D"/>
    <w:rsid w:val="00230E19"/>
    <w:rsid w:val="002916B7"/>
    <w:rsid w:val="00291732"/>
    <w:rsid w:val="00297F74"/>
    <w:rsid w:val="002B4D60"/>
    <w:rsid w:val="002E2681"/>
    <w:rsid w:val="0036286A"/>
    <w:rsid w:val="003671FD"/>
    <w:rsid w:val="00397CFF"/>
    <w:rsid w:val="003A139D"/>
    <w:rsid w:val="003E14CC"/>
    <w:rsid w:val="0044075E"/>
    <w:rsid w:val="004415F8"/>
    <w:rsid w:val="00463F70"/>
    <w:rsid w:val="00491EDB"/>
    <w:rsid w:val="004923D5"/>
    <w:rsid w:val="00494607"/>
    <w:rsid w:val="004A754B"/>
    <w:rsid w:val="004E3417"/>
    <w:rsid w:val="0050333A"/>
    <w:rsid w:val="00524D67"/>
    <w:rsid w:val="0053236B"/>
    <w:rsid w:val="005841F7"/>
    <w:rsid w:val="00593C85"/>
    <w:rsid w:val="00595B1D"/>
    <w:rsid w:val="005A176C"/>
    <w:rsid w:val="005A5ADB"/>
    <w:rsid w:val="005D341F"/>
    <w:rsid w:val="005E41DD"/>
    <w:rsid w:val="005F0D7A"/>
    <w:rsid w:val="00604613"/>
    <w:rsid w:val="006752B8"/>
    <w:rsid w:val="00675C5E"/>
    <w:rsid w:val="006978A6"/>
    <w:rsid w:val="006A39E3"/>
    <w:rsid w:val="006C1B94"/>
    <w:rsid w:val="006C6F10"/>
    <w:rsid w:val="00702E60"/>
    <w:rsid w:val="00710AF4"/>
    <w:rsid w:val="007625F5"/>
    <w:rsid w:val="00763906"/>
    <w:rsid w:val="00765A46"/>
    <w:rsid w:val="007C582F"/>
    <w:rsid w:val="007E33FD"/>
    <w:rsid w:val="00802F17"/>
    <w:rsid w:val="00866878"/>
    <w:rsid w:val="008960D4"/>
    <w:rsid w:val="008D4DF7"/>
    <w:rsid w:val="008E0DCA"/>
    <w:rsid w:val="008F7E79"/>
    <w:rsid w:val="0091300C"/>
    <w:rsid w:val="009351F0"/>
    <w:rsid w:val="00940865"/>
    <w:rsid w:val="0098795E"/>
    <w:rsid w:val="009B62F1"/>
    <w:rsid w:val="009E2B80"/>
    <w:rsid w:val="00A87C3F"/>
    <w:rsid w:val="00B01FCE"/>
    <w:rsid w:val="00B02300"/>
    <w:rsid w:val="00B84A01"/>
    <w:rsid w:val="00BC0722"/>
    <w:rsid w:val="00BC3B25"/>
    <w:rsid w:val="00BC5FC1"/>
    <w:rsid w:val="00BE7AB4"/>
    <w:rsid w:val="00BF7A24"/>
    <w:rsid w:val="00C07CFB"/>
    <w:rsid w:val="00C14950"/>
    <w:rsid w:val="00C36C7A"/>
    <w:rsid w:val="00C7268F"/>
    <w:rsid w:val="00C8310E"/>
    <w:rsid w:val="00CB754F"/>
    <w:rsid w:val="00CE2147"/>
    <w:rsid w:val="00D254B7"/>
    <w:rsid w:val="00D43033"/>
    <w:rsid w:val="00D530B7"/>
    <w:rsid w:val="00D6771E"/>
    <w:rsid w:val="00D766DE"/>
    <w:rsid w:val="00D80000"/>
    <w:rsid w:val="00DD13D9"/>
    <w:rsid w:val="00DD4A95"/>
    <w:rsid w:val="00DE280B"/>
    <w:rsid w:val="00E05EB9"/>
    <w:rsid w:val="00E31C16"/>
    <w:rsid w:val="00ED1EC8"/>
    <w:rsid w:val="00ED4649"/>
    <w:rsid w:val="00ED7280"/>
    <w:rsid w:val="00F239E3"/>
    <w:rsid w:val="00F62C47"/>
    <w:rsid w:val="00F90A75"/>
    <w:rsid w:val="00FB23D4"/>
    <w:rsid w:val="00FE2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3471989D"/>
  <w15:docId w15:val="{E43EB585-C314-42E2-AA72-2C0BEF50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139D"/>
    <w:pPr>
      <w:tabs>
        <w:tab w:val="center" w:pos="4680"/>
        <w:tab w:val="right" w:pos="9360"/>
      </w:tabs>
    </w:pPr>
  </w:style>
  <w:style w:type="character" w:customStyle="1" w:styleId="HeaderChar">
    <w:name w:val="Header Char"/>
    <w:basedOn w:val="DefaultParagraphFont"/>
    <w:link w:val="Header"/>
    <w:uiPriority w:val="99"/>
    <w:rsid w:val="003A139D"/>
  </w:style>
  <w:style w:type="paragraph" w:styleId="Footer">
    <w:name w:val="footer"/>
    <w:basedOn w:val="Normal"/>
    <w:link w:val="FooterChar"/>
    <w:uiPriority w:val="99"/>
    <w:unhideWhenUsed/>
    <w:rsid w:val="003A139D"/>
    <w:pPr>
      <w:tabs>
        <w:tab w:val="center" w:pos="4680"/>
        <w:tab w:val="right" w:pos="9360"/>
      </w:tabs>
    </w:pPr>
  </w:style>
  <w:style w:type="character" w:customStyle="1" w:styleId="FooterChar">
    <w:name w:val="Footer Char"/>
    <w:basedOn w:val="DefaultParagraphFont"/>
    <w:link w:val="Footer"/>
    <w:uiPriority w:val="99"/>
    <w:rsid w:val="003A139D"/>
  </w:style>
  <w:style w:type="paragraph" w:styleId="BalloonText">
    <w:name w:val="Balloon Text"/>
    <w:basedOn w:val="Normal"/>
    <w:link w:val="BalloonTextChar"/>
    <w:uiPriority w:val="99"/>
    <w:semiHidden/>
    <w:unhideWhenUsed/>
    <w:rsid w:val="003A139D"/>
    <w:rPr>
      <w:rFonts w:ascii="Tahoma" w:hAnsi="Tahoma" w:cs="Tahoma"/>
      <w:sz w:val="16"/>
      <w:szCs w:val="16"/>
    </w:rPr>
  </w:style>
  <w:style w:type="character" w:customStyle="1" w:styleId="BalloonTextChar">
    <w:name w:val="Balloon Text Char"/>
    <w:basedOn w:val="DefaultParagraphFont"/>
    <w:link w:val="BalloonText"/>
    <w:uiPriority w:val="99"/>
    <w:semiHidden/>
    <w:rsid w:val="003A139D"/>
    <w:rPr>
      <w:rFonts w:ascii="Tahoma" w:hAnsi="Tahoma" w:cs="Tahoma"/>
      <w:sz w:val="16"/>
      <w:szCs w:val="16"/>
    </w:rPr>
  </w:style>
  <w:style w:type="paragraph" w:styleId="NoSpacing">
    <w:name w:val="No Spacing"/>
    <w:uiPriority w:val="1"/>
    <w:qFormat/>
    <w:rsid w:val="00F62C47"/>
  </w:style>
  <w:style w:type="table" w:styleId="TableGrid">
    <w:name w:val="Table Grid"/>
    <w:basedOn w:val="TableNormal"/>
    <w:uiPriority w:val="59"/>
    <w:rsid w:val="0049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E0DCA"/>
  </w:style>
  <w:style w:type="character" w:styleId="Hyperlink">
    <w:name w:val="Hyperlink"/>
    <w:basedOn w:val="DefaultParagraphFont"/>
    <w:uiPriority w:val="99"/>
    <w:unhideWhenUsed/>
    <w:rsid w:val="00494607"/>
    <w:rPr>
      <w:color w:val="0000FF" w:themeColor="hyperlink"/>
      <w:u w:val="single"/>
    </w:rPr>
  </w:style>
  <w:style w:type="character" w:styleId="UnresolvedMention">
    <w:name w:val="Unresolved Mention"/>
    <w:basedOn w:val="DefaultParagraphFont"/>
    <w:uiPriority w:val="99"/>
    <w:semiHidden/>
    <w:unhideWhenUsed/>
    <w:rsid w:val="00494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mshda-cdbg@michigan.gov"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28C4E7DE1CC840A508EC6E4612ECA8" ma:contentTypeVersion="3" ma:contentTypeDescription="Create a new document." ma:contentTypeScope="" ma:versionID="d40e501b281e91906a38642c67cb6b3c">
  <xsd:schema xmlns:xsd="http://www.w3.org/2001/XMLSchema" xmlns:xs="http://www.w3.org/2001/XMLSchema" xmlns:p="http://schemas.microsoft.com/office/2006/metadata/properties" xmlns:ns2="da0321b6-02be-4466-9dbc-12928efa378d" targetNamespace="http://schemas.microsoft.com/office/2006/metadata/properties" ma:root="true" ma:fieldsID="fdc65ee3966704f06d23558fdfd0a71e" ns2:_="">
    <xsd:import namespace="da0321b6-02be-4466-9dbc-12928efa378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321b6-02be-4466-9dbc-12928efa37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60318E-3B58-4157-AD13-07960FBED1E9}">
  <ds:schemaRefs>
    <ds:schemaRef ds:uri="http://schemas.openxmlformats.org/officeDocument/2006/bibliography"/>
  </ds:schemaRefs>
</ds:datastoreItem>
</file>

<file path=customXml/itemProps2.xml><?xml version="1.0" encoding="utf-8"?>
<ds:datastoreItem xmlns:ds="http://schemas.openxmlformats.org/officeDocument/2006/customXml" ds:itemID="{4AE54ED8-110B-438D-BB66-54D155D60C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321b6-02be-4466-9dbc-12928efa3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F43558-EAD5-42DE-8C63-3023EBB8CE04}">
  <ds:schemaRefs>
    <ds:schemaRef ds:uri="http://schemas.microsoft.com/sharepoint/v3/contenttype/forms"/>
  </ds:schemaRefs>
</ds:datastoreItem>
</file>

<file path=customXml/itemProps4.xml><?xml version="1.0" encoding="utf-8"?>
<ds:datastoreItem xmlns:ds="http://schemas.openxmlformats.org/officeDocument/2006/customXml" ds:itemID="{4E178867-49EB-4279-AD49-39C992175E97}">
  <ds:schemaRefs>
    <ds:schemaRef ds:uri="http://schemas.microsoft.com/office/2006/metadata/properties"/>
    <ds:schemaRef ds:uri="http://schemas.microsoft.com/office/infopath/2007/PartnerControls"/>
    <ds:schemaRef ds:uri="3f2594a0-f890-4641-8cb6-fd245e03dab6"/>
    <ds:schemaRef ds:uri="e4664c3e-f049-4574-bd7d-7499d2032cc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MEDC</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pctech</dc:creator>
  <cp:lastModifiedBy>epalmer</cp:lastModifiedBy>
  <cp:revision>2</cp:revision>
  <dcterms:created xsi:type="dcterms:W3CDTF">2026-08-28T20:50:00Z</dcterms:created>
  <dcterms:modified xsi:type="dcterms:W3CDTF">2026-08-28T20:50:00Z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2023-11-08T13:42:44Z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d04c8441-74c5-4aca-b047-3b6dca131c99</vt:lpwstr>
  </property>
  <property fmtid="{D5CDD505-2E9C-101B-9397-08002B2CF9AE}" pid="8" name="MSIP_Label_3a2fed65-62e7-46ea-af74-187e0c17143a_ContentBits">
    <vt:lpwstr>0</vt:lpwstr>
  </property>
  <property fmtid="{D5CDD505-2E9C-101B-9397-08002B2CF9AE}" pid="9" name="ContentTypeId">
    <vt:lpwstr>0x0101008A28C4E7DE1CC840A508EC6E4612ECA8</vt:lpwstr>
  </property>
  <property fmtid="{D5CDD505-2E9C-101B-9397-08002B2CF9AE}" pid="10" name="MediaServiceImageTags">
    <vt:lpwstr/>
  </property>
</Properties>
</file>