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60" w:before="0"/>
        <w:jc w:val="center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INGHAM COUNTY CRITICAL HOME REPAIR PROGRAM</w:t>
      </w:r>
    </w:p>
    <w:p>
      <w:pPr>
        <w:keepNext/>
        <w:spacing w:after="60"/>
        <w:jc w:val="center"/>
      </w:pPr>
      <w:r>
        <w:rPr>
          <w:rFonts w:ascii="Arial" w:cs="Arial" w:eastAsia="Arial" w:hAnsi="Arial"/>
          <w:b/>
          <w:bCs/>
          <w:color w:val="2E5DAD"/>
          <w:sz w:val="26"/>
          <w:szCs w:val="26"/>
        </w:rPr>
        <w:t xml:space="preserve">Contractor Bid Sheet</w:t>
      </w:r>
    </w:p>
    <w:p>
      <w:pPr>
        <w:keepNext/>
        <w:spacing w:after="60"/>
        <w:jc w:val="center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Project: Eastman  |  6091 Hardy Ave., East Lansing, MI 48823</w:t>
      </w:r>
    </w:p>
    <w:p>
      <w:pPr>
        <w:pBdr>
          <w:bottom w:val="single" w:color="2E5DAD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A020" w:sz="4"/>
              <w:left w:val="single" w:color="E8A020" w:sz="4"/>
              <w:bottom w:val="single" w:color="E8A020" w:sz="4"/>
              <w:right w:val="single" w:color="E8A020" w:sz="4"/>
            </w:tcBorders>
            <w:shd w:fill="FEF6E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8B5A00"/>
                <w:sz w:val="20"/>
                <w:szCs w:val="20"/>
              </w:rPr>
              <w:t xml:space="preserve">Budget Note: </w:t>
            </w:r>
            <w:r>
              <w:rPr>
                <w:rFonts w:ascii="Arial" w:cs="Arial" w:eastAsia="Arial" w:hAnsi="Arial"/>
                <w:color w:val="8B5A00"/>
                <w:sz w:val="20"/>
                <w:szCs w:val="20"/>
              </w:rPr>
              <w:t xml:space="preserve">The estimated project budget is $36,000–$40,000. If the complete scope cannot be accomplished within available funding, prioritize structural stabilization and water intrusion prevention. Provide a detailed breakdown with your bid.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keepNext/>
        <w:spacing w:after="12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CONTRACTOR INFORMATION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Business / Company Name: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Contractor Name: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License #:</w:t>
            </w:r>
          </w:p>
        </w:tc>
        <w:tc>
          <w:tcPr>
            <w:tcW w:type="dxa" w:w="27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Insurance #: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Mailing Address: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City / State / ZIP: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Phone:</w:t>
            </w:r>
          </w:p>
        </w:tc>
        <w:tc>
          <w:tcPr>
            <w:tcW w:type="dxa" w:w="27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Email: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Signature:</w:t>
            </w:r>
          </w:p>
        </w:tc>
        <w:tc>
          <w:tcPr>
            <w:tcW w:type="dxa" w:w="40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Date: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0C8D8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0"/>
        <w:gridCol w:w="3180"/>
        <w:gridCol w:w="1200"/>
        <w:gridCol w:w="198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Bid Submission Date:</w:t>
            </w:r>
          </w:p>
        </w:tc>
        <w:tc>
          <w:tcPr>
            <w:tcW w:type="dxa" w:w="31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Est. Start Date:</w:t>
            </w:r>
          </w:p>
        </w:tc>
        <w:tc>
          <w:tcPr>
            <w:tcW w:type="dxa" w:w="19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Estimated Duration:</w:t>
            </w:r>
          </w:p>
        </w:tc>
        <w:tc>
          <w:tcPr>
            <w:tcW w:type="dxa" w:w="63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0C8D8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keepNext/>
        <w:spacing w:after="8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SCOPE OF WORK — BID BREAKDOWN</w:t>
      </w:r>
    </w:p>
    <w:p>
      <w:pPr>
        <w:keepNext/>
        <w:spacing w:after="1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Please provide a bid amount and any relevant comments for each scope item below.</w:t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1.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Flat Roof Replacement — Second Story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2.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Flat Roof Replacement — Garage/Residence Connector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3.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South Wall Reconstruction — Single-Story Bonus Room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4.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Front Entry Door and Header Replacement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spacing w:after="60" w:before="0"/>
      </w:pPr>
      <w:r>
        <w:t xml:space="preserve"/>
      </w:r>
    </w:p>
    <w:p>
      <w:pPr>
        <w:pBdr>
          <w:bottom w:val="single" w:color="8094C4" w:sz="8" w:space="1"/>
        </w:pBdr>
        <w:spacing w:after="60" w:before="6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40"/>
      </w:pPr>
      <w:r>
        <w:rPr>
          <w:rFonts w:ascii="Arial" w:cs="Arial" w:eastAsia="Arial" w:hAnsi="Arial"/>
          <w:b/>
          <w:bCs/>
          <w:color w:val="5B6FA6"/>
          <w:sz w:val="24"/>
          <w:szCs w:val="24"/>
        </w:rPr>
        <w:t xml:space="preserve">OPTIONAL SCOPE ITEMS</w:t>
      </w:r>
    </w:p>
    <w:p>
      <w:pPr>
        <w:keepNext/>
        <w:spacing w:after="16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Budget-dependent item — include if funding allows.</w:t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5B6FA6"/>
          <w:sz w:val="24"/>
          <w:szCs w:val="24"/>
        </w:rPr>
        <w:t xml:space="preserve">Optional A. </w:t>
      </w:r>
      <w:r>
        <w:rPr>
          <w:rFonts w:ascii="Arial" w:cs="Arial" w:eastAsia="Arial" w:hAnsi="Arial"/>
          <w:b/>
          <w:bCs/>
          <w:i/>
          <w:iCs/>
          <w:color w:val="5B6FA6"/>
          <w:sz w:val="24"/>
          <w:szCs w:val="24"/>
        </w:rPr>
        <w:t xml:space="preserve">Interior Ceiling Remediation — Water-Damaged Areas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spacing w:after="60" w:before="0"/>
      </w:pPr>
      <w:r>
        <w:t xml:space="preserve"/>
      </w:r>
    </w:p>
    <w:p>
      <w:pPr>
        <w:pBdr>
          <w:bottom w:val="single" w:color="1F3864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keepNext/>
        <w:spacing w:after="12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BID TOTALS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0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 Base Scope (Items 1–4):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1F3864" w:sz="8"/>
              <w:right w:val="none" w:color="FFFFFF" w:sz="0"/>
            </w:tcBorders>
            <w:shd w:fill="EAF0FB" w:val="clear"/>
            <w:tcMar>
              <w:top w:type="dxa" w:w="100"/>
              <w:left w:type="dxa" w:w="120"/>
              <w:bottom w:type="dxa" w:w="100"/>
              <w:right w:type="dxa" w:w="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$  </w:t>
            </w:r>
          </w:p>
        </w:tc>
      </w:tr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color w:val="5B6FA6"/>
                <w:sz w:val="22"/>
                <w:szCs w:val="22"/>
              </w:rPr>
              <w:t xml:space="preserve">Total Optional Items (A):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100"/>
              <w:left w:type="dxa" w:w="120"/>
              <w:bottom w:type="dxa" w:w="100"/>
              <w:right w:type="dxa" w:w="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color w:val="5B6FA6"/>
                <w:sz w:val="22"/>
                <w:szCs w:val="22"/>
              </w:rPr>
              <w:t xml:space="preserve">$  </w:t>
            </w:r>
          </w:p>
        </w:tc>
      </w:tr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0DBF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Grand Total (All Items):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double" w:color="1F3864" w:sz="8"/>
              <w:right w:val="none" w:color="FFFFFF" w:sz="0"/>
            </w:tcBorders>
            <w:shd w:fill="D0DBF0" w:val="clear"/>
            <w:tcMar>
              <w:top w:type="dxa" w:w="120"/>
              <w:left w:type="dxa" w:w="120"/>
              <w:bottom w:type="dxa" w:w="12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$  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0C8D8" w:sz="8" w:space="1"/>
        </w:pBdr>
        <w:spacing w:after="60" w:before="6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keepNext/>
        <w:spacing w:after="80" w:before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ADDITIONAL NOTES / EXCLUSIONS / QUALIFICATIONS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200" w:before="0"/>
      </w:pPr>
      <w:r>
        <w:t xml:space="preserve"/>
      </w:r>
    </w:p>
    <w:p>
      <w:pPr>
        <w:pBdr>
          <w:bottom w:val="single" w:color="2E5DAD" w:sz="8" w:space="1"/>
        </w:pBdr>
        <w:spacing w:after="60" w:before="60"/>
      </w:pPr>
      <w:r>
        <w:t xml:space="preserve"/>
      </w:r>
    </w:p>
    <w:p>
      <w:pPr>
        <w:spacing w:after="60" w:before="0"/>
      </w:pPr>
      <w:r>
        <w:t xml:space="preserve"/>
      </w:r>
    </w:p>
    <w:p>
      <w:pPr>
        <w:spacing w:after="0"/>
        <w:jc w:val="center"/>
      </w:pPr>
      <w:r>
        <w:rPr>
          <w:rFonts w:ascii="Arial" w:cs="Arial" w:eastAsia="Arial" w:hAnsi="Arial"/>
          <w:color w:val="777777"/>
          <w:sz w:val="16"/>
          <w:szCs w:val="16"/>
        </w:rPr>
        <w:t xml:space="preserve">Ingham County Land Bank  |  3024 Turner Street, Lansing, MI 48906  |  (517) 267-5221 Ext. 2380  |  sdoerfler@ingham.org</w:t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Confidential — For Authorized Use Only</w:t>
      </w:r>
    </w:p>
    <w:sectPr>
      <w:footerReference w:type="default" r:id="rId7"/>
      <w:pgSz w:w="12240" w:h="15840" w:orient="portrait"/>
      <w:pgMar w:top="108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tabs>
        <w:tab w:val="right" w:pos="9026"/>
      </w:tabs>
      <w:spacing w:after="0" w:before="60"/>
    </w:pPr>
    <w:r>
      <w:rPr>
        <w:rFonts w:ascii="Arial" w:cs="Arial" w:eastAsia="Arial" w:hAnsi="Arial"/>
        <w:color w:val="BBBBBB"/>
        <w:sz w:val="14"/>
        <w:szCs w:val="14"/>
      </w:rPr>
      <w:t xml:space="preserve">Ingham County Critical Home Repair  |  Eastman  |  6091 Hardy Ave., East Lansing, MI 48823</w:t>
    </w:r>
    <w:r>
      <w:rPr>
        <w:sz w:val="14"/>
        <w:szCs w:val="14"/>
      </w:rPr>
      <w:t xml:space="preserve">	</w:t>
    </w:r>
    <w:r>
      <w:rPr>
        <w:rFonts w:ascii="Arial" w:cs="Arial" w:eastAsia="Arial" w:hAnsi="Arial"/>
        <w:color w:val="BBBBBB"/>
        <w:sz w:val="14"/>
        <w:szCs w:val="14"/>
      </w:rPr>
      <w:t xml:space="preserve">Page </w:t>
    </w:r>
    <w:r>
      <w:rPr>
        <w:rFonts w:ascii="Arial" w:cs="Arial" w:eastAsia="Arial" w:hAnsi="Arial"/>
        <w:color w:val="BBBBBB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BBBBBB"/>
        <w:sz w:val="14"/>
        <w:szCs w:val="14"/>
      </w:rPr>
      <w:t xml:space="preserve"> of </w:t>
    </w:r>
    <w:r>
      <w:rPr>
        <w:rFonts w:ascii="Arial" w:cs="Arial" w:eastAsia="Arial" w:hAnsi="Arial"/>
        <w:color w:val="BBBBBB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2026-06-05T15:58:57.569Z</dcterms:created>
  <dcterms:modified xsi:type="dcterms:W3CDTF">2026-06-05T15:58:57.570Z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